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29" w:rsidRDefault="00B076D8" w:rsidP="0049323B">
      <w:pPr>
        <w:pStyle w:val="Ttulo"/>
        <w:jc w:val="left"/>
        <w:rPr>
          <w:rFonts w:cs="Arial"/>
          <w:color w:val="000000"/>
          <w:sz w:val="30"/>
          <w:szCs w:val="30"/>
          <w:u w:val="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-37465</wp:posOffset>
            </wp:positionV>
            <wp:extent cx="6283960" cy="1398270"/>
            <wp:effectExtent l="0" t="0" r="2540" b="0"/>
            <wp:wrapTight wrapText="bothSides">
              <wp:wrapPolygon edited="0">
                <wp:start x="0" y="0"/>
                <wp:lineTo x="0" y="21188"/>
                <wp:lineTo x="21543" y="21188"/>
                <wp:lineTo x="21543" y="0"/>
                <wp:lineTo x="0" y="0"/>
              </wp:wrapPolygon>
            </wp:wrapTight>
            <wp:docPr id="5" name="Imagen 5" descr="logo PREN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REN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C45" w:rsidRPr="00761C21" w:rsidRDefault="00DE6769" w:rsidP="0036468A">
      <w:pPr>
        <w:pStyle w:val="Ttulo"/>
        <w:spacing w:line="276" w:lineRule="auto"/>
        <w:rPr>
          <w:rFonts w:cs="Arial"/>
          <w:color w:val="000000"/>
          <w:sz w:val="30"/>
          <w:szCs w:val="30"/>
          <w:u w:val="none"/>
        </w:rPr>
      </w:pPr>
      <w:r>
        <w:rPr>
          <w:rFonts w:cs="Arial"/>
          <w:color w:val="000000"/>
          <w:sz w:val="30"/>
          <w:szCs w:val="30"/>
          <w:u w:val="none"/>
        </w:rPr>
        <w:t xml:space="preserve">Industria y doméstico-comercial </w:t>
      </w:r>
      <w:r w:rsidR="007505AD">
        <w:rPr>
          <w:rFonts w:cs="Arial"/>
          <w:color w:val="000000"/>
          <w:sz w:val="30"/>
          <w:szCs w:val="30"/>
          <w:u w:val="none"/>
        </w:rPr>
        <w:t>superan</w:t>
      </w:r>
      <w:r>
        <w:rPr>
          <w:rFonts w:cs="Arial"/>
          <w:color w:val="000000"/>
          <w:sz w:val="30"/>
          <w:szCs w:val="30"/>
          <w:u w:val="none"/>
        </w:rPr>
        <w:t xml:space="preserve"> el 8</w:t>
      </w:r>
      <w:r w:rsidR="00F1748C">
        <w:rPr>
          <w:rFonts w:cs="Arial"/>
          <w:color w:val="000000"/>
          <w:sz w:val="30"/>
          <w:szCs w:val="30"/>
          <w:u w:val="none"/>
        </w:rPr>
        <w:t>6</w:t>
      </w:r>
      <w:r>
        <w:rPr>
          <w:rFonts w:cs="Arial"/>
          <w:color w:val="000000"/>
          <w:sz w:val="30"/>
          <w:szCs w:val="30"/>
          <w:u w:val="none"/>
        </w:rPr>
        <w:t>% del consumo de gas en España</w:t>
      </w:r>
    </w:p>
    <w:p w:rsidR="0036468A" w:rsidRDefault="0036468A" w:rsidP="0036468A">
      <w:pPr>
        <w:pStyle w:val="Ttulo"/>
        <w:spacing w:line="276" w:lineRule="auto"/>
        <w:rPr>
          <w:rFonts w:cs="Arial"/>
          <w:color w:val="000000"/>
          <w:sz w:val="22"/>
          <w:szCs w:val="22"/>
          <w:u w:val="none"/>
        </w:rPr>
      </w:pPr>
    </w:p>
    <w:p w:rsidR="00052C45" w:rsidRPr="00761C21" w:rsidRDefault="00052C45" w:rsidP="00C65893">
      <w:pPr>
        <w:pStyle w:val="Ttulo"/>
        <w:spacing w:line="276" w:lineRule="auto"/>
        <w:jc w:val="left"/>
        <w:rPr>
          <w:rFonts w:cs="Arial"/>
          <w:sz w:val="22"/>
          <w:szCs w:val="22"/>
        </w:rPr>
      </w:pPr>
    </w:p>
    <w:p w:rsidR="0036468A" w:rsidRDefault="0036468A" w:rsidP="0036468A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sz w:val="22"/>
          <w:szCs w:val="22"/>
          <w:u w:val="none"/>
        </w:rPr>
      </w:pPr>
    </w:p>
    <w:p w:rsidR="00C01A06" w:rsidRDefault="00E25F54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sz w:val="22"/>
          <w:szCs w:val="22"/>
          <w:u w:val="none"/>
        </w:rPr>
        <w:t>2</w:t>
      </w:r>
      <w:r w:rsidR="007505AD">
        <w:rPr>
          <w:rFonts w:cs="Arial"/>
          <w:sz w:val="22"/>
          <w:szCs w:val="22"/>
          <w:u w:val="none"/>
        </w:rPr>
        <w:t>5</w:t>
      </w:r>
      <w:r>
        <w:rPr>
          <w:rFonts w:cs="Arial"/>
          <w:sz w:val="22"/>
          <w:szCs w:val="22"/>
          <w:u w:val="none"/>
        </w:rPr>
        <w:t xml:space="preserve"> de abril de 201</w:t>
      </w:r>
      <w:r w:rsidR="007505AD">
        <w:rPr>
          <w:rFonts w:cs="Arial"/>
          <w:sz w:val="22"/>
          <w:szCs w:val="22"/>
          <w:u w:val="none"/>
        </w:rPr>
        <w:t>4</w:t>
      </w:r>
      <w:r w:rsidR="00052C45">
        <w:rPr>
          <w:rFonts w:cs="Arial"/>
          <w:b w:val="0"/>
          <w:sz w:val="22"/>
          <w:szCs w:val="22"/>
          <w:u w:val="none"/>
        </w:rPr>
        <w:t xml:space="preserve">. </w:t>
      </w:r>
      <w:r w:rsidR="00DE6769">
        <w:rPr>
          <w:rFonts w:cs="Arial"/>
          <w:b w:val="0"/>
          <w:sz w:val="22"/>
          <w:szCs w:val="22"/>
          <w:u w:val="none"/>
        </w:rPr>
        <w:t>Según datos correspondientes al primer trimestre de 201</w:t>
      </w:r>
      <w:r w:rsidR="00381729">
        <w:rPr>
          <w:rFonts w:cs="Arial"/>
          <w:b w:val="0"/>
          <w:sz w:val="22"/>
          <w:szCs w:val="22"/>
          <w:u w:val="none"/>
        </w:rPr>
        <w:t>4</w:t>
      </w:r>
      <w:r w:rsidR="00DE6769">
        <w:rPr>
          <w:rFonts w:cs="Arial"/>
          <w:b w:val="0"/>
          <w:sz w:val="22"/>
          <w:szCs w:val="22"/>
          <w:u w:val="none"/>
        </w:rPr>
        <w:t xml:space="preserve">, </w:t>
      </w:r>
      <w:r w:rsidR="008C25CE">
        <w:rPr>
          <w:rFonts w:cs="Arial"/>
          <w:b w:val="0"/>
          <w:sz w:val="22"/>
          <w:szCs w:val="22"/>
          <w:u w:val="none"/>
        </w:rPr>
        <w:t>el sector convencional (</w:t>
      </w:r>
      <w:r w:rsidR="00DE6769">
        <w:rPr>
          <w:rFonts w:cs="Arial"/>
          <w:b w:val="0"/>
          <w:sz w:val="22"/>
          <w:szCs w:val="22"/>
          <w:u w:val="none"/>
        </w:rPr>
        <w:t>industria</w:t>
      </w:r>
      <w:r w:rsidR="008C25CE">
        <w:rPr>
          <w:rFonts w:cs="Arial"/>
          <w:b w:val="0"/>
          <w:sz w:val="22"/>
          <w:szCs w:val="22"/>
          <w:u w:val="none"/>
        </w:rPr>
        <w:t xml:space="preserve">, </w:t>
      </w:r>
      <w:r w:rsidR="008674A2">
        <w:rPr>
          <w:rFonts w:cs="Arial"/>
          <w:b w:val="0"/>
          <w:sz w:val="22"/>
          <w:szCs w:val="22"/>
          <w:u w:val="none"/>
        </w:rPr>
        <w:t xml:space="preserve">incluidos los usos no energéticos del gas, y </w:t>
      </w:r>
      <w:r w:rsidR="006E5FE3">
        <w:rPr>
          <w:rFonts w:cs="Arial"/>
          <w:b w:val="0"/>
          <w:sz w:val="22"/>
          <w:szCs w:val="22"/>
          <w:u w:val="none"/>
        </w:rPr>
        <w:t>doméstico-comercial</w:t>
      </w:r>
      <w:r w:rsidR="008C25CE">
        <w:rPr>
          <w:rFonts w:cs="Arial"/>
          <w:b w:val="0"/>
          <w:sz w:val="22"/>
          <w:szCs w:val="22"/>
          <w:u w:val="none"/>
        </w:rPr>
        <w:t xml:space="preserve">) </w:t>
      </w:r>
      <w:r w:rsidR="00DE6769">
        <w:rPr>
          <w:rFonts w:cs="Arial"/>
          <w:b w:val="0"/>
          <w:sz w:val="22"/>
          <w:szCs w:val="22"/>
          <w:u w:val="none"/>
        </w:rPr>
        <w:t>supone</w:t>
      </w:r>
      <w:r w:rsidR="006E5FE3">
        <w:rPr>
          <w:rFonts w:cs="Arial"/>
          <w:b w:val="0"/>
          <w:sz w:val="22"/>
          <w:szCs w:val="22"/>
          <w:u w:val="none"/>
        </w:rPr>
        <w:t>n</w:t>
      </w:r>
      <w:r w:rsidR="00DE6769">
        <w:rPr>
          <w:rFonts w:cs="Arial"/>
          <w:b w:val="0"/>
          <w:sz w:val="22"/>
          <w:szCs w:val="22"/>
          <w:u w:val="none"/>
        </w:rPr>
        <w:t xml:space="preserve"> el </w:t>
      </w:r>
      <w:r w:rsidR="008C25CE">
        <w:rPr>
          <w:rFonts w:cs="Arial"/>
          <w:b w:val="0"/>
          <w:sz w:val="22"/>
          <w:szCs w:val="22"/>
          <w:u w:val="none"/>
        </w:rPr>
        <w:t>88,</w:t>
      </w:r>
      <w:r w:rsidR="00316201">
        <w:rPr>
          <w:rFonts w:cs="Arial"/>
          <w:b w:val="0"/>
          <w:sz w:val="22"/>
          <w:szCs w:val="22"/>
          <w:u w:val="none"/>
        </w:rPr>
        <w:t>2</w:t>
      </w:r>
      <w:r w:rsidR="00DE6769">
        <w:rPr>
          <w:rFonts w:cs="Arial"/>
          <w:b w:val="0"/>
          <w:sz w:val="22"/>
          <w:szCs w:val="22"/>
          <w:u w:val="none"/>
        </w:rPr>
        <w:t xml:space="preserve">% </w:t>
      </w:r>
      <w:r w:rsidR="007067E1">
        <w:rPr>
          <w:rFonts w:cs="Arial"/>
          <w:b w:val="0"/>
          <w:sz w:val="22"/>
          <w:szCs w:val="22"/>
          <w:u w:val="none"/>
        </w:rPr>
        <w:t>del</w:t>
      </w:r>
      <w:r w:rsidR="00DE6769">
        <w:rPr>
          <w:rFonts w:cs="Arial"/>
          <w:b w:val="0"/>
          <w:sz w:val="22"/>
          <w:szCs w:val="22"/>
          <w:u w:val="none"/>
        </w:rPr>
        <w:t xml:space="preserve"> consumo total de gas natural en España. Esta cifra, </w:t>
      </w:r>
      <w:r w:rsidR="00A1487A">
        <w:rPr>
          <w:rFonts w:cs="Arial"/>
          <w:b w:val="0"/>
          <w:sz w:val="22"/>
          <w:szCs w:val="22"/>
          <w:u w:val="none"/>
        </w:rPr>
        <w:t>2,4 puntos más alta que la correspondiente</w:t>
      </w:r>
      <w:r w:rsidR="00DE6769">
        <w:rPr>
          <w:rFonts w:cs="Arial"/>
          <w:b w:val="0"/>
          <w:sz w:val="22"/>
          <w:szCs w:val="22"/>
          <w:u w:val="none"/>
        </w:rPr>
        <w:t xml:space="preserve"> al mismo periodo de 201</w:t>
      </w:r>
      <w:r w:rsidR="00381729">
        <w:rPr>
          <w:rFonts w:cs="Arial"/>
          <w:b w:val="0"/>
          <w:sz w:val="22"/>
          <w:szCs w:val="22"/>
          <w:u w:val="none"/>
        </w:rPr>
        <w:t>3</w:t>
      </w:r>
      <w:r w:rsidR="00DE6769">
        <w:rPr>
          <w:rFonts w:cs="Arial"/>
          <w:b w:val="0"/>
          <w:sz w:val="22"/>
          <w:szCs w:val="22"/>
          <w:u w:val="none"/>
        </w:rPr>
        <w:t xml:space="preserve">, </w:t>
      </w:r>
      <w:r w:rsidR="00A94450">
        <w:rPr>
          <w:rFonts w:cs="Arial"/>
          <w:b w:val="0"/>
          <w:sz w:val="22"/>
          <w:szCs w:val="22"/>
          <w:u w:val="none"/>
        </w:rPr>
        <w:t>muestra</w:t>
      </w:r>
      <w:r w:rsidR="00381729">
        <w:rPr>
          <w:rFonts w:cs="Arial"/>
          <w:b w:val="0"/>
          <w:sz w:val="22"/>
          <w:szCs w:val="22"/>
          <w:u w:val="none"/>
        </w:rPr>
        <w:t xml:space="preserve"> la importancia </w:t>
      </w:r>
      <w:r w:rsidR="008674A2">
        <w:rPr>
          <w:rFonts w:cs="Arial"/>
          <w:b w:val="0"/>
          <w:sz w:val="22"/>
          <w:szCs w:val="22"/>
          <w:u w:val="none"/>
        </w:rPr>
        <w:t xml:space="preserve">de </w:t>
      </w:r>
      <w:r w:rsidR="00A94450">
        <w:rPr>
          <w:rFonts w:cs="Arial"/>
          <w:b w:val="0"/>
          <w:sz w:val="22"/>
          <w:szCs w:val="22"/>
          <w:u w:val="none"/>
        </w:rPr>
        <w:t>estos sectores en la demanda de gas</w:t>
      </w:r>
      <w:r w:rsidR="00DE6769">
        <w:rPr>
          <w:rFonts w:cs="Arial"/>
          <w:b w:val="0"/>
          <w:sz w:val="22"/>
          <w:szCs w:val="22"/>
          <w:u w:val="none"/>
        </w:rPr>
        <w:t>.</w:t>
      </w:r>
    </w:p>
    <w:p w:rsidR="00C01A06" w:rsidRDefault="00C01A06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DE6769" w:rsidRDefault="00DE6769" w:rsidP="00DE6769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La industria continúa siendo el principal consumidor de gas, con un </w:t>
      </w:r>
      <w:r w:rsidRPr="00316201">
        <w:rPr>
          <w:rFonts w:cs="Arial"/>
          <w:b w:val="0"/>
          <w:sz w:val="22"/>
          <w:szCs w:val="22"/>
          <w:u w:val="none"/>
        </w:rPr>
        <w:t>5</w:t>
      </w:r>
      <w:r w:rsidR="00381729" w:rsidRPr="00316201">
        <w:rPr>
          <w:rFonts w:cs="Arial"/>
          <w:b w:val="0"/>
          <w:sz w:val="22"/>
          <w:szCs w:val="22"/>
          <w:u w:val="none"/>
        </w:rPr>
        <w:t>8,</w:t>
      </w:r>
      <w:r w:rsidRPr="00316201">
        <w:rPr>
          <w:rFonts w:cs="Arial"/>
          <w:b w:val="0"/>
          <w:sz w:val="22"/>
          <w:szCs w:val="22"/>
          <w:u w:val="none"/>
        </w:rPr>
        <w:t>6</w:t>
      </w:r>
      <w:r>
        <w:rPr>
          <w:rFonts w:cs="Arial"/>
          <w:b w:val="0"/>
          <w:sz w:val="22"/>
          <w:szCs w:val="22"/>
          <w:u w:val="none"/>
        </w:rPr>
        <w:t>% sobre el total consumido, seguido del sector doméstico-comercial (</w:t>
      </w:r>
      <w:r w:rsidRPr="00316201">
        <w:rPr>
          <w:rFonts w:cs="Arial"/>
          <w:b w:val="0"/>
          <w:sz w:val="22"/>
          <w:szCs w:val="22"/>
          <w:u w:val="none"/>
        </w:rPr>
        <w:t>2</w:t>
      </w:r>
      <w:r w:rsidR="00381729" w:rsidRPr="00316201">
        <w:rPr>
          <w:rFonts w:cs="Arial"/>
          <w:b w:val="0"/>
          <w:sz w:val="22"/>
          <w:szCs w:val="22"/>
          <w:u w:val="none"/>
        </w:rPr>
        <w:t>7,</w:t>
      </w:r>
      <w:r w:rsidR="006E5FE3" w:rsidRPr="00316201">
        <w:rPr>
          <w:rFonts w:cs="Arial"/>
          <w:b w:val="0"/>
          <w:sz w:val="22"/>
          <w:szCs w:val="22"/>
          <w:u w:val="none"/>
        </w:rPr>
        <w:t>7</w:t>
      </w:r>
      <w:r>
        <w:rPr>
          <w:rFonts w:cs="Arial"/>
          <w:b w:val="0"/>
          <w:sz w:val="22"/>
          <w:szCs w:val="22"/>
          <w:u w:val="none"/>
        </w:rPr>
        <w:t>%) y de las centrales de ciclo combinado</w:t>
      </w:r>
      <w:r w:rsidR="005C5904">
        <w:rPr>
          <w:rFonts w:cs="Arial"/>
          <w:b w:val="0"/>
          <w:sz w:val="22"/>
          <w:szCs w:val="22"/>
          <w:u w:val="none"/>
        </w:rPr>
        <w:t xml:space="preserve"> y térmicas convencionales</w:t>
      </w:r>
      <w:r>
        <w:rPr>
          <w:rFonts w:cs="Arial"/>
          <w:b w:val="0"/>
          <w:sz w:val="22"/>
          <w:szCs w:val="22"/>
          <w:u w:val="none"/>
        </w:rPr>
        <w:t xml:space="preserve"> (1</w:t>
      </w:r>
      <w:r w:rsidR="00381729">
        <w:rPr>
          <w:rFonts w:cs="Arial"/>
          <w:b w:val="0"/>
          <w:sz w:val="22"/>
          <w:szCs w:val="22"/>
          <w:u w:val="none"/>
        </w:rPr>
        <w:t>1,8</w:t>
      </w:r>
      <w:r>
        <w:rPr>
          <w:rFonts w:cs="Arial"/>
          <w:b w:val="0"/>
          <w:sz w:val="22"/>
          <w:szCs w:val="22"/>
          <w:u w:val="none"/>
        </w:rPr>
        <w:t>%).</w:t>
      </w:r>
    </w:p>
    <w:p w:rsidR="00DE6769" w:rsidRDefault="00DE6769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A82A26" w:rsidRPr="00140D81" w:rsidRDefault="00AA69D6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Durante este periodo, </w:t>
      </w:r>
      <w:r w:rsidR="008D4295">
        <w:rPr>
          <w:rFonts w:cs="Arial"/>
          <w:b w:val="0"/>
          <w:sz w:val="22"/>
          <w:szCs w:val="22"/>
          <w:u w:val="none"/>
        </w:rPr>
        <w:t>la demanda nacional</w:t>
      </w:r>
      <w:r w:rsidR="00C24C61">
        <w:rPr>
          <w:rFonts w:cs="Arial"/>
          <w:b w:val="0"/>
          <w:sz w:val="22"/>
          <w:szCs w:val="22"/>
          <w:u w:val="none"/>
        </w:rPr>
        <w:t xml:space="preserve"> ha </w:t>
      </w:r>
      <w:r w:rsidR="00DE6769">
        <w:rPr>
          <w:rFonts w:cs="Arial"/>
          <w:b w:val="0"/>
          <w:sz w:val="22"/>
          <w:szCs w:val="22"/>
          <w:u w:val="none"/>
        </w:rPr>
        <w:t xml:space="preserve">alcanzado </w:t>
      </w:r>
      <w:r w:rsidR="00DE6769" w:rsidRPr="00590E2F">
        <w:rPr>
          <w:rFonts w:cs="Arial"/>
          <w:b w:val="0"/>
          <w:sz w:val="22"/>
          <w:szCs w:val="22"/>
          <w:u w:val="none"/>
        </w:rPr>
        <w:t xml:space="preserve">los </w:t>
      </w:r>
      <w:r w:rsidR="00A82A26">
        <w:rPr>
          <w:rFonts w:cs="Arial"/>
          <w:b w:val="0"/>
          <w:sz w:val="22"/>
          <w:szCs w:val="22"/>
          <w:u w:val="none"/>
        </w:rPr>
        <w:t>87.678</w:t>
      </w:r>
      <w:r w:rsidR="00590E2F" w:rsidRPr="00590E2F">
        <w:rPr>
          <w:rFonts w:cs="Arial"/>
          <w:b w:val="0"/>
          <w:sz w:val="22"/>
          <w:szCs w:val="22"/>
          <w:u w:val="none"/>
        </w:rPr>
        <w:t xml:space="preserve"> G</w:t>
      </w:r>
      <w:r w:rsidR="00DE6769" w:rsidRPr="00590E2F">
        <w:rPr>
          <w:rFonts w:cs="Arial"/>
          <w:b w:val="0"/>
          <w:sz w:val="22"/>
          <w:szCs w:val="22"/>
          <w:u w:val="none"/>
        </w:rPr>
        <w:t>Wh</w:t>
      </w:r>
      <w:r w:rsidR="00901999" w:rsidRPr="00590E2F">
        <w:rPr>
          <w:rFonts w:cs="Arial"/>
          <w:b w:val="0"/>
          <w:sz w:val="22"/>
          <w:szCs w:val="22"/>
          <w:u w:val="none"/>
        </w:rPr>
        <w:t>,</w:t>
      </w:r>
      <w:r w:rsidR="00901999">
        <w:rPr>
          <w:rFonts w:cs="Arial"/>
          <w:b w:val="0"/>
          <w:sz w:val="22"/>
          <w:szCs w:val="22"/>
          <w:u w:val="none"/>
        </w:rPr>
        <w:t xml:space="preserve"> </w:t>
      </w:r>
      <w:r w:rsidR="00DE6769">
        <w:rPr>
          <w:rFonts w:cs="Arial"/>
          <w:b w:val="0"/>
          <w:sz w:val="22"/>
          <w:szCs w:val="22"/>
          <w:u w:val="none"/>
        </w:rPr>
        <w:t xml:space="preserve">una </w:t>
      </w:r>
      <w:r w:rsidR="00901999">
        <w:rPr>
          <w:rFonts w:cs="Arial"/>
          <w:b w:val="0"/>
          <w:sz w:val="22"/>
          <w:szCs w:val="22"/>
          <w:u w:val="none"/>
        </w:rPr>
        <w:t xml:space="preserve">cifra un </w:t>
      </w:r>
      <w:r w:rsidR="00DE6769">
        <w:rPr>
          <w:rFonts w:cs="Arial"/>
          <w:b w:val="0"/>
          <w:sz w:val="22"/>
          <w:szCs w:val="22"/>
          <w:u w:val="none"/>
        </w:rPr>
        <w:t>1</w:t>
      </w:r>
      <w:r w:rsidR="00A82A26">
        <w:rPr>
          <w:rFonts w:cs="Arial"/>
          <w:b w:val="0"/>
          <w:sz w:val="22"/>
          <w:szCs w:val="22"/>
          <w:u w:val="none"/>
        </w:rPr>
        <w:t>1</w:t>
      </w:r>
      <w:r w:rsidR="00DE6769">
        <w:rPr>
          <w:rFonts w:cs="Arial"/>
          <w:b w:val="0"/>
          <w:sz w:val="22"/>
          <w:szCs w:val="22"/>
          <w:u w:val="none"/>
        </w:rPr>
        <w:t>,5</w:t>
      </w:r>
      <w:r w:rsidR="00901999">
        <w:rPr>
          <w:rFonts w:cs="Arial"/>
          <w:b w:val="0"/>
          <w:sz w:val="22"/>
          <w:szCs w:val="22"/>
          <w:u w:val="none"/>
        </w:rPr>
        <w:t>% más baja respecto al mismo periodo de 201</w:t>
      </w:r>
      <w:r w:rsidR="00A82A26">
        <w:rPr>
          <w:rFonts w:cs="Arial"/>
          <w:b w:val="0"/>
          <w:sz w:val="22"/>
          <w:szCs w:val="22"/>
          <w:u w:val="none"/>
        </w:rPr>
        <w:t>3</w:t>
      </w:r>
      <w:r w:rsidR="008A1014">
        <w:rPr>
          <w:rFonts w:cs="Arial"/>
          <w:b w:val="0"/>
          <w:sz w:val="22"/>
          <w:szCs w:val="22"/>
          <w:u w:val="none"/>
        </w:rPr>
        <w:t xml:space="preserve">, </w:t>
      </w:r>
      <w:r w:rsidR="0058197D" w:rsidRPr="0058197D">
        <w:rPr>
          <w:rFonts w:cs="Arial"/>
          <w:b w:val="0"/>
          <w:color w:val="000000" w:themeColor="text1"/>
          <w:sz w:val="22"/>
          <w:szCs w:val="22"/>
          <w:u w:val="none"/>
        </w:rPr>
        <w:t>debido, entre otras causas, al primer trimestre del año más cálido de los últimos 35 años.</w:t>
      </w:r>
      <w:r w:rsidR="00B43C7F" w:rsidRPr="00140D81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  <w:r w:rsidR="008A1014" w:rsidRPr="00140D81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:rsidR="008A1014" w:rsidRDefault="008A1014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1B6085" w:rsidRPr="002D6F8D" w:rsidRDefault="005D47F3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sz w:val="22"/>
          <w:szCs w:val="22"/>
          <w:u w:val="none"/>
        </w:rPr>
      </w:pPr>
      <w:r>
        <w:rPr>
          <w:rFonts w:cs="Arial"/>
          <w:sz w:val="22"/>
          <w:szCs w:val="22"/>
          <w:u w:val="none"/>
        </w:rPr>
        <w:t>D</w:t>
      </w:r>
      <w:r w:rsidR="00B43ACC">
        <w:rPr>
          <w:rFonts w:cs="Arial"/>
          <w:sz w:val="22"/>
          <w:szCs w:val="22"/>
          <w:u w:val="none"/>
        </w:rPr>
        <w:t>emanda convencional</w:t>
      </w:r>
    </w:p>
    <w:p w:rsidR="002D6F8D" w:rsidRDefault="002D6F8D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0E30B7" w:rsidRDefault="003B573C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Durante </w:t>
      </w:r>
      <w:r w:rsidR="00EE6CFE">
        <w:rPr>
          <w:rFonts w:cs="Arial"/>
          <w:b w:val="0"/>
          <w:sz w:val="22"/>
          <w:szCs w:val="22"/>
          <w:u w:val="none"/>
        </w:rPr>
        <w:t>el primer trimestre</w:t>
      </w:r>
      <w:r>
        <w:rPr>
          <w:rFonts w:cs="Arial"/>
          <w:b w:val="0"/>
          <w:sz w:val="22"/>
          <w:szCs w:val="22"/>
          <w:u w:val="none"/>
        </w:rPr>
        <w:t>, e</w:t>
      </w:r>
      <w:r w:rsidR="00383D5B" w:rsidRPr="000E30B7">
        <w:rPr>
          <w:rFonts w:cs="Arial"/>
          <w:b w:val="0"/>
          <w:sz w:val="22"/>
          <w:szCs w:val="22"/>
          <w:u w:val="none"/>
        </w:rPr>
        <w:t xml:space="preserve">l sector </w:t>
      </w:r>
      <w:r>
        <w:rPr>
          <w:rFonts w:cs="Arial"/>
          <w:b w:val="0"/>
          <w:sz w:val="22"/>
          <w:szCs w:val="22"/>
          <w:u w:val="none"/>
        </w:rPr>
        <w:t xml:space="preserve">convencional </w:t>
      </w:r>
      <w:r w:rsidR="00383D5B" w:rsidRPr="000E30B7">
        <w:rPr>
          <w:rFonts w:cs="Arial"/>
          <w:b w:val="0"/>
          <w:sz w:val="22"/>
          <w:szCs w:val="22"/>
          <w:u w:val="none"/>
        </w:rPr>
        <w:t xml:space="preserve">ha consumido un </w:t>
      </w:r>
      <w:r>
        <w:rPr>
          <w:rFonts w:cs="Arial"/>
          <w:b w:val="0"/>
          <w:sz w:val="22"/>
          <w:szCs w:val="22"/>
          <w:u w:val="none"/>
        </w:rPr>
        <w:t>9</w:t>
      </w:r>
      <w:r w:rsidR="00FE0A85" w:rsidRPr="000E30B7">
        <w:rPr>
          <w:rFonts w:cs="Arial"/>
          <w:b w:val="0"/>
          <w:sz w:val="22"/>
          <w:szCs w:val="22"/>
          <w:u w:val="none"/>
        </w:rPr>
        <w:t>% menos que el año anterior. La</w:t>
      </w:r>
      <w:r>
        <w:rPr>
          <w:rFonts w:cs="Arial"/>
          <w:b w:val="0"/>
          <w:sz w:val="22"/>
          <w:szCs w:val="22"/>
          <w:u w:val="none"/>
        </w:rPr>
        <w:t>s</w:t>
      </w:r>
      <w:r w:rsidR="00FE0A85" w:rsidRPr="000E30B7">
        <w:rPr>
          <w:rFonts w:cs="Arial"/>
          <w:b w:val="0"/>
          <w:sz w:val="22"/>
          <w:szCs w:val="22"/>
          <w:u w:val="none"/>
        </w:rPr>
        <w:t xml:space="preserve"> principal</w:t>
      </w:r>
      <w:r>
        <w:rPr>
          <w:rFonts w:cs="Arial"/>
          <w:b w:val="0"/>
          <w:sz w:val="22"/>
          <w:szCs w:val="22"/>
          <w:u w:val="none"/>
        </w:rPr>
        <w:t xml:space="preserve">es </w:t>
      </w:r>
      <w:r w:rsidR="00FE0A85" w:rsidRPr="000E30B7">
        <w:rPr>
          <w:rFonts w:cs="Arial"/>
          <w:b w:val="0"/>
          <w:sz w:val="22"/>
          <w:szCs w:val="22"/>
          <w:u w:val="none"/>
        </w:rPr>
        <w:t>causa</w:t>
      </w:r>
      <w:r>
        <w:rPr>
          <w:rFonts w:cs="Arial"/>
          <w:b w:val="0"/>
          <w:sz w:val="22"/>
          <w:szCs w:val="22"/>
          <w:u w:val="none"/>
        </w:rPr>
        <w:t xml:space="preserve">s </w:t>
      </w:r>
      <w:r w:rsidR="00383D5B" w:rsidRPr="000E30B7">
        <w:rPr>
          <w:rFonts w:cs="Arial"/>
          <w:b w:val="0"/>
          <w:sz w:val="22"/>
          <w:szCs w:val="22"/>
          <w:u w:val="none"/>
        </w:rPr>
        <w:t xml:space="preserve">son </w:t>
      </w:r>
      <w:r>
        <w:rPr>
          <w:rFonts w:cs="Arial"/>
          <w:b w:val="0"/>
          <w:sz w:val="22"/>
          <w:szCs w:val="22"/>
          <w:u w:val="none"/>
        </w:rPr>
        <w:t xml:space="preserve">unas </w:t>
      </w:r>
      <w:r w:rsidR="00383D5B" w:rsidRPr="000E30B7">
        <w:rPr>
          <w:rFonts w:cs="Arial"/>
          <w:b w:val="0"/>
          <w:sz w:val="22"/>
          <w:szCs w:val="22"/>
          <w:u w:val="none"/>
        </w:rPr>
        <w:t>temperaturas</w:t>
      </w:r>
      <w:r>
        <w:rPr>
          <w:rFonts w:cs="Arial"/>
          <w:b w:val="0"/>
          <w:sz w:val="22"/>
          <w:szCs w:val="22"/>
          <w:u w:val="none"/>
        </w:rPr>
        <w:t xml:space="preserve"> superiores a la media y un menor consumo de gas por parte de las industrias cogeneradoras.</w:t>
      </w:r>
    </w:p>
    <w:p w:rsidR="003B573C" w:rsidRDefault="003B573C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3B573C" w:rsidRDefault="003B573C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El consumo del mercado doméstico-comercial está muy relacionado con el encendido de calefacciones y, por lo tanto, </w:t>
      </w:r>
      <w:r w:rsidR="00EE6CFE">
        <w:rPr>
          <w:rFonts w:cs="Arial"/>
          <w:b w:val="0"/>
          <w:sz w:val="22"/>
          <w:szCs w:val="22"/>
          <w:u w:val="none"/>
        </w:rPr>
        <w:t xml:space="preserve">a </w:t>
      </w:r>
      <w:r>
        <w:rPr>
          <w:rFonts w:cs="Arial"/>
          <w:b w:val="0"/>
          <w:sz w:val="22"/>
          <w:szCs w:val="22"/>
          <w:u w:val="none"/>
        </w:rPr>
        <w:t xml:space="preserve">la </w:t>
      </w:r>
      <w:r w:rsidR="00EE6CFE">
        <w:rPr>
          <w:rFonts w:cs="Arial"/>
          <w:b w:val="0"/>
          <w:sz w:val="22"/>
          <w:szCs w:val="22"/>
          <w:u w:val="none"/>
        </w:rPr>
        <w:t xml:space="preserve">evolución </w:t>
      </w:r>
      <w:r>
        <w:rPr>
          <w:rFonts w:cs="Arial"/>
          <w:b w:val="0"/>
          <w:sz w:val="22"/>
          <w:szCs w:val="22"/>
          <w:u w:val="none"/>
        </w:rPr>
        <w:t xml:space="preserve">de las temperaturas. En este sentido, </w:t>
      </w:r>
      <w:r w:rsidR="00990AEC" w:rsidRPr="00990AEC">
        <w:rPr>
          <w:rFonts w:cs="Arial"/>
          <w:b w:val="0"/>
          <w:sz w:val="22"/>
          <w:szCs w:val="22"/>
          <w:u w:val="none"/>
        </w:rPr>
        <w:t>estos tres primeros meses del año han sido más cálidos de lo habitual, con una temperatura media de 1,5º superior a la media histórica desde el año 1980</w:t>
      </w:r>
      <w:r w:rsidR="00D56085">
        <w:rPr>
          <w:rFonts w:cs="Arial"/>
          <w:b w:val="0"/>
          <w:sz w:val="22"/>
          <w:szCs w:val="22"/>
          <w:u w:val="none"/>
        </w:rPr>
        <w:t xml:space="preserve">. </w:t>
      </w:r>
    </w:p>
    <w:p w:rsidR="00D56085" w:rsidRDefault="00D56085" w:rsidP="000166FF">
      <w:pPr>
        <w:pStyle w:val="Ttulo"/>
        <w:pBdr>
          <w:top w:val="single" w:sz="4" w:space="1" w:color="auto"/>
        </w:pBdr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D56085" w:rsidRDefault="00D56085" w:rsidP="00FB671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En lo que a la industria se refiere, </w:t>
      </w:r>
      <w:r w:rsidR="007231AF">
        <w:rPr>
          <w:rFonts w:cs="Arial"/>
          <w:b w:val="0"/>
          <w:sz w:val="22"/>
          <w:szCs w:val="22"/>
          <w:u w:val="none"/>
        </w:rPr>
        <w:t xml:space="preserve">según  datos de REE, el vertido de electricidad de las empresas cogeneradoras a la red ha descendido en un 23%. Cabe recordar que </w:t>
      </w:r>
      <w:r w:rsidR="00875919">
        <w:rPr>
          <w:rFonts w:cs="Arial"/>
          <w:b w:val="0"/>
          <w:sz w:val="22"/>
          <w:szCs w:val="22"/>
          <w:u w:val="none"/>
        </w:rPr>
        <w:t xml:space="preserve">el </w:t>
      </w:r>
      <w:r w:rsidR="00A1487A">
        <w:rPr>
          <w:rFonts w:cs="Arial"/>
          <w:b w:val="0"/>
          <w:sz w:val="22"/>
          <w:szCs w:val="22"/>
          <w:u w:val="none"/>
        </w:rPr>
        <w:t>91</w:t>
      </w:r>
      <w:r w:rsidR="00875919">
        <w:rPr>
          <w:rFonts w:cs="Arial"/>
          <w:b w:val="0"/>
          <w:sz w:val="22"/>
          <w:szCs w:val="22"/>
          <w:u w:val="none"/>
        </w:rPr>
        <w:t xml:space="preserve">% de la energía que utilizan los cogeneradores en España es </w:t>
      </w:r>
      <w:r w:rsidR="00EE6CFE">
        <w:rPr>
          <w:rFonts w:cs="Arial"/>
          <w:b w:val="0"/>
          <w:sz w:val="22"/>
          <w:szCs w:val="22"/>
          <w:u w:val="none"/>
        </w:rPr>
        <w:t xml:space="preserve">el </w:t>
      </w:r>
      <w:r w:rsidR="00875919">
        <w:rPr>
          <w:rFonts w:cs="Arial"/>
          <w:b w:val="0"/>
          <w:sz w:val="22"/>
          <w:szCs w:val="22"/>
          <w:u w:val="none"/>
        </w:rPr>
        <w:t xml:space="preserve">gas. </w:t>
      </w:r>
    </w:p>
    <w:p w:rsidR="00FB6714" w:rsidRDefault="00FB6714" w:rsidP="00FB671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FB6714" w:rsidRDefault="00FB6714" w:rsidP="00FB671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1A4897" w:rsidRPr="00D73C3A" w:rsidRDefault="00D73C3A" w:rsidP="00842B94">
      <w:pPr>
        <w:pStyle w:val="Ttulo"/>
        <w:spacing w:line="276" w:lineRule="auto"/>
        <w:jc w:val="both"/>
        <w:rPr>
          <w:rFonts w:cs="Arial"/>
          <w:sz w:val="22"/>
          <w:szCs w:val="22"/>
          <w:u w:val="none"/>
        </w:rPr>
      </w:pPr>
      <w:r w:rsidRPr="00D73C3A">
        <w:rPr>
          <w:rFonts w:cs="Arial"/>
          <w:sz w:val="22"/>
          <w:szCs w:val="22"/>
          <w:u w:val="none"/>
        </w:rPr>
        <w:t>Generación en ciclos combinados</w:t>
      </w:r>
    </w:p>
    <w:p w:rsidR="00D73C3A" w:rsidRDefault="00D73C3A" w:rsidP="00842B9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E57348" w:rsidRDefault="0012467E" w:rsidP="00842B9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>Durante este primer trimestre de 201</w:t>
      </w:r>
      <w:r w:rsidR="00D23E2D">
        <w:rPr>
          <w:rFonts w:cs="Arial"/>
          <w:b w:val="0"/>
          <w:sz w:val="22"/>
          <w:szCs w:val="22"/>
          <w:u w:val="none"/>
        </w:rPr>
        <w:t>4</w:t>
      </w:r>
      <w:r w:rsidR="00E57348">
        <w:rPr>
          <w:rFonts w:cs="Arial"/>
          <w:b w:val="0"/>
          <w:sz w:val="22"/>
          <w:szCs w:val="22"/>
          <w:u w:val="none"/>
        </w:rPr>
        <w:t>, el consumo de gas de los ciclos combinados ha continuado bajando</w:t>
      </w:r>
      <w:r w:rsidR="003A516E">
        <w:rPr>
          <w:rFonts w:cs="Arial"/>
          <w:b w:val="0"/>
          <w:sz w:val="22"/>
          <w:szCs w:val="22"/>
          <w:u w:val="none"/>
        </w:rPr>
        <w:t xml:space="preserve"> </w:t>
      </w:r>
      <w:r w:rsidR="00BF2D22">
        <w:rPr>
          <w:rFonts w:cs="Arial"/>
          <w:b w:val="0"/>
          <w:sz w:val="22"/>
          <w:szCs w:val="22"/>
          <w:u w:val="none"/>
        </w:rPr>
        <w:t>—</w:t>
      </w:r>
      <w:r w:rsidR="003A516E">
        <w:rPr>
          <w:rFonts w:cs="Arial"/>
          <w:b w:val="0"/>
          <w:sz w:val="22"/>
          <w:szCs w:val="22"/>
          <w:u w:val="none"/>
        </w:rPr>
        <w:t xml:space="preserve">siguiendo la tendencia </w:t>
      </w:r>
      <w:r w:rsidR="00BF2D22">
        <w:rPr>
          <w:rFonts w:cs="Arial"/>
          <w:b w:val="0"/>
          <w:sz w:val="22"/>
          <w:szCs w:val="22"/>
          <w:u w:val="none"/>
        </w:rPr>
        <w:t>iniciada en 2008—</w:t>
      </w:r>
      <w:r w:rsidR="00E57348">
        <w:rPr>
          <w:rFonts w:cs="Arial"/>
          <w:b w:val="0"/>
          <w:sz w:val="22"/>
          <w:szCs w:val="22"/>
          <w:u w:val="none"/>
        </w:rPr>
        <w:t xml:space="preserve"> hasta alcanzar un índice de utilización del </w:t>
      </w:r>
      <w:r w:rsidR="00A1487A">
        <w:rPr>
          <w:rFonts w:cs="Arial"/>
          <w:b w:val="0"/>
          <w:sz w:val="22"/>
          <w:szCs w:val="22"/>
          <w:u w:val="none"/>
        </w:rPr>
        <w:t>7,6</w:t>
      </w:r>
      <w:r w:rsidR="00E57348" w:rsidRPr="00A1487A">
        <w:rPr>
          <w:rFonts w:cs="Arial"/>
          <w:b w:val="0"/>
          <w:sz w:val="22"/>
          <w:szCs w:val="22"/>
          <w:u w:val="none"/>
        </w:rPr>
        <w:t>%</w:t>
      </w:r>
      <w:r w:rsidR="006D4E80">
        <w:rPr>
          <w:rFonts w:cs="Arial"/>
          <w:b w:val="0"/>
          <w:sz w:val="22"/>
          <w:szCs w:val="22"/>
          <w:u w:val="none"/>
        </w:rPr>
        <w:t xml:space="preserve"> </w:t>
      </w:r>
      <w:r w:rsidR="00D23E2D">
        <w:rPr>
          <w:rFonts w:cs="Arial"/>
          <w:b w:val="0"/>
          <w:sz w:val="22"/>
          <w:szCs w:val="22"/>
          <w:u w:val="none"/>
        </w:rPr>
        <w:t>de media</w:t>
      </w:r>
      <w:r w:rsidR="00E57348">
        <w:rPr>
          <w:rFonts w:cs="Arial"/>
          <w:b w:val="0"/>
          <w:sz w:val="22"/>
          <w:szCs w:val="22"/>
          <w:u w:val="none"/>
        </w:rPr>
        <w:t xml:space="preserve">, frente al </w:t>
      </w:r>
      <w:r w:rsidR="007067E1" w:rsidRPr="00A1487A">
        <w:rPr>
          <w:rFonts w:cs="Arial"/>
          <w:b w:val="0"/>
          <w:sz w:val="22"/>
          <w:szCs w:val="22"/>
          <w:u w:val="none"/>
        </w:rPr>
        <w:t>1</w:t>
      </w:r>
      <w:r w:rsidR="00A1487A">
        <w:rPr>
          <w:rFonts w:cs="Arial"/>
          <w:b w:val="0"/>
          <w:sz w:val="22"/>
          <w:szCs w:val="22"/>
          <w:u w:val="none"/>
        </w:rPr>
        <w:t>1,4</w:t>
      </w:r>
      <w:r w:rsidR="00E57348">
        <w:rPr>
          <w:rFonts w:cs="Arial"/>
          <w:b w:val="0"/>
          <w:sz w:val="22"/>
          <w:szCs w:val="22"/>
          <w:u w:val="none"/>
        </w:rPr>
        <w:t>% correspondiente a la media del año 201</w:t>
      </w:r>
      <w:r w:rsidR="00D23E2D">
        <w:rPr>
          <w:rFonts w:cs="Arial"/>
          <w:b w:val="0"/>
          <w:sz w:val="22"/>
          <w:szCs w:val="22"/>
          <w:u w:val="none"/>
        </w:rPr>
        <w:t>3</w:t>
      </w:r>
      <w:r w:rsidR="00E57348">
        <w:rPr>
          <w:rFonts w:cs="Arial"/>
          <w:b w:val="0"/>
          <w:sz w:val="22"/>
          <w:szCs w:val="22"/>
          <w:u w:val="none"/>
        </w:rPr>
        <w:t xml:space="preserve">. </w:t>
      </w:r>
    </w:p>
    <w:p w:rsidR="00E57348" w:rsidRDefault="00E57348" w:rsidP="00842B9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E57348" w:rsidRDefault="00EE6CFE" w:rsidP="00842B9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Entre las </w:t>
      </w:r>
      <w:r w:rsidR="00E57348">
        <w:rPr>
          <w:rFonts w:cs="Arial"/>
          <w:b w:val="0"/>
          <w:sz w:val="22"/>
          <w:szCs w:val="22"/>
          <w:u w:val="none"/>
        </w:rPr>
        <w:t>principales causas</w:t>
      </w:r>
      <w:r>
        <w:rPr>
          <w:rFonts w:cs="Arial"/>
          <w:b w:val="0"/>
          <w:sz w:val="22"/>
          <w:szCs w:val="22"/>
          <w:u w:val="none"/>
        </w:rPr>
        <w:t xml:space="preserve"> destaca </w:t>
      </w:r>
      <w:r w:rsidR="00D23E2D">
        <w:rPr>
          <w:rFonts w:cs="Arial"/>
          <w:b w:val="0"/>
          <w:sz w:val="22"/>
          <w:szCs w:val="22"/>
          <w:u w:val="none"/>
        </w:rPr>
        <w:t xml:space="preserve">el alto nivel de producción hidroeléctrica, que ha crecido cerca de un 40% durante el periodo. </w:t>
      </w:r>
      <w:r>
        <w:rPr>
          <w:rFonts w:cs="Arial"/>
          <w:b w:val="0"/>
          <w:sz w:val="22"/>
          <w:szCs w:val="22"/>
          <w:u w:val="none"/>
        </w:rPr>
        <w:t>A lo largo de</w:t>
      </w:r>
      <w:r w:rsidR="006D4E80">
        <w:rPr>
          <w:rFonts w:cs="Arial"/>
          <w:b w:val="0"/>
          <w:sz w:val="22"/>
          <w:szCs w:val="22"/>
          <w:u w:val="none"/>
        </w:rPr>
        <w:t xml:space="preserve"> este primer trimestre, las centrales de ciclo combinado han cubierto el </w:t>
      </w:r>
      <w:r w:rsidR="00D23E2D">
        <w:rPr>
          <w:rFonts w:cs="Arial"/>
          <w:b w:val="0"/>
          <w:sz w:val="22"/>
          <w:szCs w:val="22"/>
          <w:u w:val="none"/>
        </w:rPr>
        <w:t>6,3</w:t>
      </w:r>
      <w:r w:rsidR="006D4E80">
        <w:rPr>
          <w:rFonts w:cs="Arial"/>
          <w:b w:val="0"/>
          <w:sz w:val="22"/>
          <w:szCs w:val="22"/>
          <w:u w:val="none"/>
        </w:rPr>
        <w:t xml:space="preserve">% de la generación, frente al </w:t>
      </w:r>
      <w:r w:rsidR="00D23E2D">
        <w:rPr>
          <w:rFonts w:cs="Arial"/>
          <w:b w:val="0"/>
          <w:sz w:val="22"/>
          <w:szCs w:val="22"/>
          <w:u w:val="none"/>
        </w:rPr>
        <w:t>9</w:t>
      </w:r>
      <w:r w:rsidR="006D4E80">
        <w:rPr>
          <w:rFonts w:cs="Arial"/>
          <w:b w:val="0"/>
          <w:sz w:val="22"/>
          <w:szCs w:val="22"/>
          <w:u w:val="none"/>
        </w:rPr>
        <w:t xml:space="preserve">% correspondiente al pasado año. </w:t>
      </w:r>
      <w:r w:rsidR="00E57348">
        <w:rPr>
          <w:rFonts w:cs="Arial"/>
          <w:b w:val="0"/>
          <w:sz w:val="22"/>
          <w:szCs w:val="22"/>
          <w:u w:val="none"/>
        </w:rPr>
        <w:t xml:space="preserve">Esto ocurre en un contexto donde la demanda </w:t>
      </w:r>
      <w:r w:rsidR="00F1748C">
        <w:rPr>
          <w:rFonts w:cs="Arial"/>
          <w:b w:val="0"/>
          <w:sz w:val="22"/>
          <w:szCs w:val="22"/>
          <w:u w:val="none"/>
        </w:rPr>
        <w:t xml:space="preserve">de distribución </w:t>
      </w:r>
      <w:r w:rsidR="00E57348">
        <w:rPr>
          <w:rFonts w:cs="Arial"/>
          <w:b w:val="0"/>
          <w:sz w:val="22"/>
          <w:szCs w:val="22"/>
          <w:u w:val="none"/>
        </w:rPr>
        <w:t xml:space="preserve">de electricidad ha bajado en un </w:t>
      </w:r>
      <w:r w:rsidR="002C7F09">
        <w:rPr>
          <w:rFonts w:cs="Arial"/>
          <w:b w:val="0"/>
          <w:sz w:val="22"/>
          <w:szCs w:val="22"/>
          <w:u w:val="none"/>
        </w:rPr>
        <w:t>2</w:t>
      </w:r>
      <w:r w:rsidR="00E57348">
        <w:rPr>
          <w:rFonts w:cs="Arial"/>
          <w:b w:val="0"/>
          <w:sz w:val="22"/>
          <w:szCs w:val="22"/>
          <w:u w:val="none"/>
        </w:rPr>
        <w:t>%</w:t>
      </w:r>
      <w:r w:rsidR="00433E70">
        <w:rPr>
          <w:rFonts w:cs="Arial"/>
          <w:b w:val="0"/>
          <w:sz w:val="22"/>
          <w:szCs w:val="22"/>
          <w:u w:val="none"/>
        </w:rPr>
        <w:t xml:space="preserve"> en relación con el primer trimestre del año anterior, según REE.</w:t>
      </w:r>
      <w:r w:rsidR="00E57348">
        <w:rPr>
          <w:rFonts w:cs="Arial"/>
          <w:b w:val="0"/>
          <w:sz w:val="22"/>
          <w:szCs w:val="22"/>
          <w:u w:val="none"/>
        </w:rPr>
        <w:t xml:space="preserve"> </w:t>
      </w:r>
    </w:p>
    <w:p w:rsidR="00E57348" w:rsidRDefault="00E57348" w:rsidP="00842B94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</w:rPr>
      </w:pPr>
    </w:p>
    <w:p w:rsidR="00BC5306" w:rsidRPr="00A7682F" w:rsidRDefault="00BC5306" w:rsidP="00C647D9">
      <w:pPr>
        <w:autoSpaceDE w:val="0"/>
        <w:autoSpaceDN w:val="0"/>
        <w:adjustRightInd w:val="0"/>
        <w:spacing w:line="240" w:lineRule="auto"/>
        <w:jc w:val="left"/>
        <w:rPr>
          <w:rFonts w:cs="Verdana"/>
          <w:bCs/>
          <w:color w:val="1F497C"/>
          <w:sz w:val="22"/>
          <w:szCs w:val="22"/>
        </w:rPr>
      </w:pPr>
    </w:p>
    <w:p w:rsidR="00BF55B4" w:rsidRPr="00ED6E90" w:rsidRDefault="00BF55B4" w:rsidP="00BF55B4">
      <w:pPr>
        <w:autoSpaceDE w:val="0"/>
        <w:autoSpaceDN w:val="0"/>
        <w:adjustRightInd w:val="0"/>
        <w:spacing w:line="276" w:lineRule="auto"/>
        <w:jc w:val="left"/>
        <w:rPr>
          <w:rFonts w:cs="Times New Roman"/>
          <w:b/>
          <w:bCs/>
          <w:color w:val="000000" w:themeColor="text1"/>
          <w:sz w:val="22"/>
          <w:szCs w:val="22"/>
        </w:rPr>
      </w:pPr>
      <w:r w:rsidRPr="00ED6E90">
        <w:rPr>
          <w:rFonts w:cs="Times New Roman"/>
          <w:b/>
          <w:bCs/>
          <w:color w:val="000000" w:themeColor="text1"/>
          <w:sz w:val="22"/>
          <w:szCs w:val="22"/>
        </w:rPr>
        <w:t>Contacto de Prensa:</w:t>
      </w:r>
    </w:p>
    <w:p w:rsidR="00BF55B4" w:rsidRPr="00ED6E90" w:rsidRDefault="00BF55B4" w:rsidP="00BF55B4">
      <w:pPr>
        <w:spacing w:line="276" w:lineRule="auto"/>
        <w:jc w:val="left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BF55B4" w:rsidRPr="00ED6E90" w:rsidRDefault="00BF55B4" w:rsidP="00BF55B4">
      <w:pPr>
        <w:spacing w:line="276" w:lineRule="auto"/>
        <w:jc w:val="left"/>
        <w:rPr>
          <w:rFonts w:cs="Times New Roman"/>
          <w:b/>
          <w:bCs/>
          <w:color w:val="000000" w:themeColor="text1"/>
          <w:sz w:val="22"/>
          <w:szCs w:val="22"/>
        </w:rPr>
      </w:pPr>
      <w:r w:rsidRPr="00ED6E90">
        <w:rPr>
          <w:rFonts w:cs="Times New Roman"/>
          <w:b/>
          <w:bCs/>
          <w:color w:val="000000" w:themeColor="text1"/>
          <w:sz w:val="22"/>
          <w:szCs w:val="22"/>
        </w:rPr>
        <w:t>Tel: 93 519 19 88 – 93 417 28 04</w:t>
      </w:r>
    </w:p>
    <w:p w:rsidR="00BF55B4" w:rsidRPr="00ED6E90" w:rsidRDefault="00BF55B4" w:rsidP="00BF55B4">
      <w:pPr>
        <w:spacing w:line="276" w:lineRule="auto"/>
        <w:jc w:val="left"/>
        <w:rPr>
          <w:rFonts w:cs="Times New Roman"/>
          <w:b/>
          <w:bCs/>
          <w:color w:val="000000" w:themeColor="text1"/>
          <w:sz w:val="22"/>
          <w:szCs w:val="22"/>
        </w:rPr>
      </w:pPr>
    </w:p>
    <w:p w:rsidR="00BF55B4" w:rsidRPr="00CC0D77" w:rsidRDefault="00BF55B4" w:rsidP="00BF55B4">
      <w:pPr>
        <w:spacing w:line="276" w:lineRule="auto"/>
        <w:jc w:val="left"/>
        <w:rPr>
          <w:rFonts w:cs="Times New Roman"/>
          <w:b/>
          <w:bCs/>
          <w:color w:val="000000" w:themeColor="text1"/>
          <w:sz w:val="22"/>
          <w:szCs w:val="22"/>
        </w:rPr>
      </w:pPr>
      <w:r w:rsidRPr="00CC0D77">
        <w:rPr>
          <w:rFonts w:cs="Times New Roman"/>
          <w:b/>
          <w:bCs/>
          <w:color w:val="000000" w:themeColor="text1"/>
          <w:sz w:val="22"/>
          <w:szCs w:val="22"/>
        </w:rPr>
        <w:t xml:space="preserve">Carme Ferrer: </w:t>
      </w:r>
      <w:hyperlink r:id="rId10" w:history="1">
        <w:r w:rsidRPr="00CC0D77">
          <w:rPr>
            <w:rStyle w:val="Hipervnculo"/>
            <w:rFonts w:cs="Times New Roman"/>
            <w:b/>
            <w:bCs/>
            <w:sz w:val="22"/>
            <w:szCs w:val="22"/>
          </w:rPr>
          <w:t>cferrer@sedigas.es</w:t>
        </w:r>
      </w:hyperlink>
    </w:p>
    <w:p w:rsidR="00BF55B4" w:rsidRPr="00ED6E90" w:rsidRDefault="00BF55B4" w:rsidP="00BF55B4">
      <w:pPr>
        <w:spacing w:line="276" w:lineRule="auto"/>
        <w:jc w:val="left"/>
        <w:rPr>
          <w:sz w:val="22"/>
          <w:szCs w:val="22"/>
          <w:lang w:val="fr-FR"/>
        </w:rPr>
      </w:pPr>
      <w:r w:rsidRPr="00ED6E90">
        <w:rPr>
          <w:rFonts w:cs="Times New Roman"/>
          <w:b/>
          <w:bCs/>
          <w:color w:val="000000" w:themeColor="text1"/>
          <w:sz w:val="22"/>
          <w:szCs w:val="22"/>
          <w:lang w:val="fr-FR"/>
        </w:rPr>
        <w:t xml:space="preserve">Mapi Menén: </w:t>
      </w:r>
      <w:hyperlink r:id="rId11" w:history="1">
        <w:r w:rsidRPr="00ED6E90">
          <w:rPr>
            <w:rStyle w:val="Hipervnculo"/>
            <w:rFonts w:cs="Times New Roman"/>
            <w:b/>
            <w:bCs/>
            <w:sz w:val="22"/>
            <w:szCs w:val="22"/>
            <w:lang w:val="fr-FR"/>
          </w:rPr>
          <w:t>mmenen@sedigas.es</w:t>
        </w:r>
      </w:hyperlink>
    </w:p>
    <w:p w:rsidR="00477F63" w:rsidRPr="00CB2EAF" w:rsidRDefault="00477F63" w:rsidP="00C647D9">
      <w:pPr>
        <w:pStyle w:val="Ttulo"/>
        <w:spacing w:line="276" w:lineRule="auto"/>
        <w:jc w:val="both"/>
        <w:rPr>
          <w:rFonts w:cs="Arial"/>
          <w:sz w:val="22"/>
          <w:szCs w:val="22"/>
          <w:u w:val="none"/>
          <w:lang w:val="en-US"/>
        </w:rPr>
      </w:pPr>
    </w:p>
    <w:p w:rsidR="00CB2EAF" w:rsidRPr="00CB2EAF" w:rsidRDefault="00CB2EAF" w:rsidP="00C647D9">
      <w:pPr>
        <w:pStyle w:val="Ttulo"/>
        <w:spacing w:line="276" w:lineRule="auto"/>
        <w:jc w:val="both"/>
        <w:rPr>
          <w:rFonts w:cs="Arial"/>
          <w:b w:val="0"/>
          <w:sz w:val="22"/>
          <w:szCs w:val="22"/>
          <w:u w:val="none"/>
          <w:lang w:val="en-US"/>
        </w:rPr>
      </w:pPr>
    </w:p>
    <w:p w:rsidR="00052C45" w:rsidRPr="00CB2EAF" w:rsidRDefault="00052C45" w:rsidP="00052C45">
      <w:pPr>
        <w:ind w:left="708"/>
        <w:rPr>
          <w:rFonts w:cs="Arial"/>
          <w:sz w:val="22"/>
          <w:szCs w:val="22"/>
          <w:lang w:val="en-US"/>
        </w:rPr>
      </w:pPr>
    </w:p>
    <w:p w:rsidR="00052C45" w:rsidRPr="00CB2EAF" w:rsidRDefault="00052C45" w:rsidP="00052C45">
      <w:pPr>
        <w:pStyle w:val="Ttulo"/>
        <w:jc w:val="both"/>
        <w:rPr>
          <w:rFonts w:cs="Arial"/>
          <w:b w:val="0"/>
          <w:sz w:val="22"/>
          <w:szCs w:val="22"/>
          <w:u w:val="none"/>
          <w:lang w:val="en-US"/>
        </w:rPr>
      </w:pPr>
    </w:p>
    <w:p w:rsidR="008C0F65" w:rsidRPr="00CB2EAF" w:rsidRDefault="008C0F65" w:rsidP="00052C45">
      <w:pPr>
        <w:rPr>
          <w:sz w:val="22"/>
          <w:szCs w:val="22"/>
          <w:lang w:val="en-US"/>
        </w:rPr>
      </w:pPr>
    </w:p>
    <w:p w:rsidR="001C19C1" w:rsidRPr="00CB2EAF" w:rsidRDefault="001C19C1" w:rsidP="00BD23AA">
      <w:pPr>
        <w:pStyle w:val="Ttulo"/>
        <w:jc w:val="left"/>
        <w:rPr>
          <w:rFonts w:ascii="Arial" w:hAnsi="Arial" w:cs="Arial"/>
          <w:b w:val="0"/>
          <w:sz w:val="22"/>
          <w:szCs w:val="22"/>
          <w:u w:val="none"/>
          <w:lang w:val="en-US"/>
        </w:rPr>
      </w:pPr>
    </w:p>
    <w:sectPr w:rsidR="001C19C1" w:rsidRPr="00CB2EAF" w:rsidSect="000B4A92">
      <w:footerReference w:type="default" r:id="rId12"/>
      <w:pgSz w:w="11906" w:h="16838"/>
      <w:pgMar w:top="1418" w:right="1134" w:bottom="17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AA" w:rsidRDefault="00DC6CAA">
      <w:r>
        <w:separator/>
      </w:r>
    </w:p>
  </w:endnote>
  <w:endnote w:type="continuationSeparator" w:id="0">
    <w:p w:rsidR="00DC6CAA" w:rsidRDefault="00D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49" w:rsidRDefault="00C5204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D73BE">
      <w:rPr>
        <w:noProof/>
      </w:rPr>
      <w:t>1</w:t>
    </w:r>
    <w:r>
      <w:fldChar w:fldCharType="end"/>
    </w:r>
  </w:p>
  <w:p w:rsidR="00C52049" w:rsidRDefault="00C520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AA" w:rsidRDefault="00DC6CAA">
      <w:r>
        <w:separator/>
      </w:r>
    </w:p>
  </w:footnote>
  <w:footnote w:type="continuationSeparator" w:id="0">
    <w:p w:rsidR="00DC6CAA" w:rsidRDefault="00D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650"/>
    <w:multiLevelType w:val="hybridMultilevel"/>
    <w:tmpl w:val="59B4E36C"/>
    <w:lvl w:ilvl="0" w:tplc="72EA1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005EE"/>
    <w:multiLevelType w:val="hybridMultilevel"/>
    <w:tmpl w:val="6FCC70D8"/>
    <w:lvl w:ilvl="0" w:tplc="00050C0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0030C0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4316B8"/>
    <w:multiLevelType w:val="hybridMultilevel"/>
    <w:tmpl w:val="8A9E690A"/>
    <w:lvl w:ilvl="0" w:tplc="C18A7558">
      <w:start w:val="65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72EA1B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C3464"/>
    <w:multiLevelType w:val="hybridMultilevel"/>
    <w:tmpl w:val="17B01D02"/>
    <w:lvl w:ilvl="0" w:tplc="00050C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56F61"/>
    <w:multiLevelType w:val="hybridMultilevel"/>
    <w:tmpl w:val="7660D97E"/>
    <w:lvl w:ilvl="0" w:tplc="F49832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A7510"/>
    <w:multiLevelType w:val="hybridMultilevel"/>
    <w:tmpl w:val="8828EF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21894"/>
    <w:multiLevelType w:val="hybridMultilevel"/>
    <w:tmpl w:val="15B2A4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ABC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4E"/>
    <w:rsid w:val="00001475"/>
    <w:rsid w:val="00001AE5"/>
    <w:rsid w:val="000055DA"/>
    <w:rsid w:val="000166FF"/>
    <w:rsid w:val="00033767"/>
    <w:rsid w:val="00040836"/>
    <w:rsid w:val="00052C45"/>
    <w:rsid w:val="00062FD6"/>
    <w:rsid w:val="0007790A"/>
    <w:rsid w:val="00090419"/>
    <w:rsid w:val="000A72B2"/>
    <w:rsid w:val="000B4A92"/>
    <w:rsid w:val="000B61D3"/>
    <w:rsid w:val="000B6C11"/>
    <w:rsid w:val="000B6E68"/>
    <w:rsid w:val="000C1486"/>
    <w:rsid w:val="000C1952"/>
    <w:rsid w:val="000C7135"/>
    <w:rsid w:val="000D1F34"/>
    <w:rsid w:val="000D4A81"/>
    <w:rsid w:val="000E10DA"/>
    <w:rsid w:val="000E1A23"/>
    <w:rsid w:val="000E30B7"/>
    <w:rsid w:val="000F0761"/>
    <w:rsid w:val="000F3C44"/>
    <w:rsid w:val="000F3FE9"/>
    <w:rsid w:val="00115AC9"/>
    <w:rsid w:val="00116C28"/>
    <w:rsid w:val="00121B23"/>
    <w:rsid w:val="0012467E"/>
    <w:rsid w:val="0012729F"/>
    <w:rsid w:val="001343C2"/>
    <w:rsid w:val="00140D81"/>
    <w:rsid w:val="00142554"/>
    <w:rsid w:val="00171FF9"/>
    <w:rsid w:val="0017541F"/>
    <w:rsid w:val="00175591"/>
    <w:rsid w:val="00181AB5"/>
    <w:rsid w:val="00181E8A"/>
    <w:rsid w:val="00182847"/>
    <w:rsid w:val="001831B5"/>
    <w:rsid w:val="0018478F"/>
    <w:rsid w:val="001973DD"/>
    <w:rsid w:val="001A4897"/>
    <w:rsid w:val="001B5A52"/>
    <w:rsid w:val="001B6085"/>
    <w:rsid w:val="001C19C1"/>
    <w:rsid w:val="001C2081"/>
    <w:rsid w:val="001C6CBC"/>
    <w:rsid w:val="001D0C0F"/>
    <w:rsid w:val="001D0C20"/>
    <w:rsid w:val="001D702D"/>
    <w:rsid w:val="001E094B"/>
    <w:rsid w:val="001E3837"/>
    <w:rsid w:val="001E407E"/>
    <w:rsid w:val="001F2B56"/>
    <w:rsid w:val="002025C3"/>
    <w:rsid w:val="00212A69"/>
    <w:rsid w:val="0021582E"/>
    <w:rsid w:val="00220CCF"/>
    <w:rsid w:val="0026133B"/>
    <w:rsid w:val="002665CA"/>
    <w:rsid w:val="00291C53"/>
    <w:rsid w:val="002A01F5"/>
    <w:rsid w:val="002C3BF4"/>
    <w:rsid w:val="002C786F"/>
    <w:rsid w:val="002C7F09"/>
    <w:rsid w:val="002D6F8D"/>
    <w:rsid w:val="002E3F36"/>
    <w:rsid w:val="002E4F38"/>
    <w:rsid w:val="002E6F84"/>
    <w:rsid w:val="002F2BFF"/>
    <w:rsid w:val="00316201"/>
    <w:rsid w:val="0032101B"/>
    <w:rsid w:val="00350902"/>
    <w:rsid w:val="00354062"/>
    <w:rsid w:val="003618CF"/>
    <w:rsid w:val="0036468A"/>
    <w:rsid w:val="00381729"/>
    <w:rsid w:val="003817FE"/>
    <w:rsid w:val="00382C09"/>
    <w:rsid w:val="00383D5B"/>
    <w:rsid w:val="00385554"/>
    <w:rsid w:val="00396F76"/>
    <w:rsid w:val="003A102D"/>
    <w:rsid w:val="003A43FF"/>
    <w:rsid w:val="003A516E"/>
    <w:rsid w:val="003A6B19"/>
    <w:rsid w:val="003B0477"/>
    <w:rsid w:val="003B43FE"/>
    <w:rsid w:val="003B573C"/>
    <w:rsid w:val="003C11A3"/>
    <w:rsid w:val="003F2F84"/>
    <w:rsid w:val="00406104"/>
    <w:rsid w:val="0041159F"/>
    <w:rsid w:val="00414703"/>
    <w:rsid w:val="0042452D"/>
    <w:rsid w:val="00433E70"/>
    <w:rsid w:val="004468DC"/>
    <w:rsid w:val="00474CF4"/>
    <w:rsid w:val="00477F63"/>
    <w:rsid w:val="0049323B"/>
    <w:rsid w:val="004B7531"/>
    <w:rsid w:val="004C2240"/>
    <w:rsid w:val="004C3B56"/>
    <w:rsid w:val="004C5EDD"/>
    <w:rsid w:val="004D283A"/>
    <w:rsid w:val="004E7A37"/>
    <w:rsid w:val="004F1A60"/>
    <w:rsid w:val="00501124"/>
    <w:rsid w:val="005015BD"/>
    <w:rsid w:val="005017AD"/>
    <w:rsid w:val="005027BF"/>
    <w:rsid w:val="005052C8"/>
    <w:rsid w:val="00512376"/>
    <w:rsid w:val="00524758"/>
    <w:rsid w:val="00526B9C"/>
    <w:rsid w:val="005418A9"/>
    <w:rsid w:val="00555807"/>
    <w:rsid w:val="0056297A"/>
    <w:rsid w:val="00564C69"/>
    <w:rsid w:val="005656BC"/>
    <w:rsid w:val="005664EC"/>
    <w:rsid w:val="005678A7"/>
    <w:rsid w:val="0057524A"/>
    <w:rsid w:val="005754D8"/>
    <w:rsid w:val="0058197D"/>
    <w:rsid w:val="0058692B"/>
    <w:rsid w:val="00590E2F"/>
    <w:rsid w:val="005C5904"/>
    <w:rsid w:val="005D47F3"/>
    <w:rsid w:val="005E573B"/>
    <w:rsid w:val="005F74BC"/>
    <w:rsid w:val="00611C18"/>
    <w:rsid w:val="00613D4F"/>
    <w:rsid w:val="00623D07"/>
    <w:rsid w:val="00634DCF"/>
    <w:rsid w:val="0064055F"/>
    <w:rsid w:val="00642CDB"/>
    <w:rsid w:val="00647A53"/>
    <w:rsid w:val="00647D64"/>
    <w:rsid w:val="00671295"/>
    <w:rsid w:val="0067456F"/>
    <w:rsid w:val="00677893"/>
    <w:rsid w:val="00680D4C"/>
    <w:rsid w:val="006A715E"/>
    <w:rsid w:val="006C105B"/>
    <w:rsid w:val="006D0C9F"/>
    <w:rsid w:val="006D1DDC"/>
    <w:rsid w:val="006D4E80"/>
    <w:rsid w:val="006E1BD9"/>
    <w:rsid w:val="006E3261"/>
    <w:rsid w:val="006E5E02"/>
    <w:rsid w:val="006E5FE3"/>
    <w:rsid w:val="007067E1"/>
    <w:rsid w:val="00710079"/>
    <w:rsid w:val="00714525"/>
    <w:rsid w:val="007231AF"/>
    <w:rsid w:val="00732CE8"/>
    <w:rsid w:val="007505AD"/>
    <w:rsid w:val="00753445"/>
    <w:rsid w:val="00775DEF"/>
    <w:rsid w:val="00793B11"/>
    <w:rsid w:val="0079568F"/>
    <w:rsid w:val="007A3D76"/>
    <w:rsid w:val="007B3295"/>
    <w:rsid w:val="007B6972"/>
    <w:rsid w:val="007F4C7F"/>
    <w:rsid w:val="007F60C4"/>
    <w:rsid w:val="007F707C"/>
    <w:rsid w:val="008126B4"/>
    <w:rsid w:val="0081317B"/>
    <w:rsid w:val="00815C5A"/>
    <w:rsid w:val="00816558"/>
    <w:rsid w:val="00822FF0"/>
    <w:rsid w:val="008247DB"/>
    <w:rsid w:val="008307CE"/>
    <w:rsid w:val="00835A90"/>
    <w:rsid w:val="00841130"/>
    <w:rsid w:val="00842B94"/>
    <w:rsid w:val="0086092B"/>
    <w:rsid w:val="0086211F"/>
    <w:rsid w:val="008659CB"/>
    <w:rsid w:val="008674A2"/>
    <w:rsid w:val="00875919"/>
    <w:rsid w:val="008866BC"/>
    <w:rsid w:val="0089037F"/>
    <w:rsid w:val="008A0E3C"/>
    <w:rsid w:val="008A1014"/>
    <w:rsid w:val="008A68A9"/>
    <w:rsid w:val="008C03D1"/>
    <w:rsid w:val="008C0757"/>
    <w:rsid w:val="008C0F65"/>
    <w:rsid w:val="008C25CE"/>
    <w:rsid w:val="008D179C"/>
    <w:rsid w:val="008D3D58"/>
    <w:rsid w:val="008D4295"/>
    <w:rsid w:val="008E672D"/>
    <w:rsid w:val="008F5270"/>
    <w:rsid w:val="00901999"/>
    <w:rsid w:val="009065FD"/>
    <w:rsid w:val="00911168"/>
    <w:rsid w:val="009138F2"/>
    <w:rsid w:val="00917B6D"/>
    <w:rsid w:val="0093426A"/>
    <w:rsid w:val="00945355"/>
    <w:rsid w:val="0094757B"/>
    <w:rsid w:val="009549B3"/>
    <w:rsid w:val="009817B4"/>
    <w:rsid w:val="00984CC2"/>
    <w:rsid w:val="00987B43"/>
    <w:rsid w:val="00990AEC"/>
    <w:rsid w:val="009A1555"/>
    <w:rsid w:val="009A5F9F"/>
    <w:rsid w:val="009B79A3"/>
    <w:rsid w:val="009C170A"/>
    <w:rsid w:val="009E3FDC"/>
    <w:rsid w:val="009F3884"/>
    <w:rsid w:val="00A1487A"/>
    <w:rsid w:val="00A20FB7"/>
    <w:rsid w:val="00A540B6"/>
    <w:rsid w:val="00A7015C"/>
    <w:rsid w:val="00A7682F"/>
    <w:rsid w:val="00A8197A"/>
    <w:rsid w:val="00A82532"/>
    <w:rsid w:val="00A82A26"/>
    <w:rsid w:val="00A86E87"/>
    <w:rsid w:val="00A94450"/>
    <w:rsid w:val="00AA1BFA"/>
    <w:rsid w:val="00AA69D6"/>
    <w:rsid w:val="00AB1A27"/>
    <w:rsid w:val="00AB63E9"/>
    <w:rsid w:val="00AC018F"/>
    <w:rsid w:val="00AD13BF"/>
    <w:rsid w:val="00AD3E1B"/>
    <w:rsid w:val="00AE247E"/>
    <w:rsid w:val="00AE4913"/>
    <w:rsid w:val="00AE7A98"/>
    <w:rsid w:val="00AE7B19"/>
    <w:rsid w:val="00AF5766"/>
    <w:rsid w:val="00B01879"/>
    <w:rsid w:val="00B01E3A"/>
    <w:rsid w:val="00B05D68"/>
    <w:rsid w:val="00B076D8"/>
    <w:rsid w:val="00B07CCC"/>
    <w:rsid w:val="00B32A3E"/>
    <w:rsid w:val="00B43ACC"/>
    <w:rsid w:val="00B43C7F"/>
    <w:rsid w:val="00B65366"/>
    <w:rsid w:val="00B6601C"/>
    <w:rsid w:val="00B8147D"/>
    <w:rsid w:val="00B83D76"/>
    <w:rsid w:val="00BC14DF"/>
    <w:rsid w:val="00BC217E"/>
    <w:rsid w:val="00BC5306"/>
    <w:rsid w:val="00BD04D0"/>
    <w:rsid w:val="00BD23AA"/>
    <w:rsid w:val="00BE2EF4"/>
    <w:rsid w:val="00BF2D22"/>
    <w:rsid w:val="00BF4F8F"/>
    <w:rsid w:val="00BF55B4"/>
    <w:rsid w:val="00C01A06"/>
    <w:rsid w:val="00C01E63"/>
    <w:rsid w:val="00C034D5"/>
    <w:rsid w:val="00C163B4"/>
    <w:rsid w:val="00C24C61"/>
    <w:rsid w:val="00C33C4D"/>
    <w:rsid w:val="00C45241"/>
    <w:rsid w:val="00C50984"/>
    <w:rsid w:val="00C52049"/>
    <w:rsid w:val="00C56A8B"/>
    <w:rsid w:val="00C62A55"/>
    <w:rsid w:val="00C62D22"/>
    <w:rsid w:val="00C637A6"/>
    <w:rsid w:val="00C647D9"/>
    <w:rsid w:val="00C65893"/>
    <w:rsid w:val="00C760ED"/>
    <w:rsid w:val="00C77B61"/>
    <w:rsid w:val="00C8171A"/>
    <w:rsid w:val="00C83BB7"/>
    <w:rsid w:val="00C90B3B"/>
    <w:rsid w:val="00C92F7D"/>
    <w:rsid w:val="00CA06E8"/>
    <w:rsid w:val="00CB170B"/>
    <w:rsid w:val="00CB2EAF"/>
    <w:rsid w:val="00CC039C"/>
    <w:rsid w:val="00CC1AB4"/>
    <w:rsid w:val="00CC25CE"/>
    <w:rsid w:val="00CE7FB7"/>
    <w:rsid w:val="00CF0327"/>
    <w:rsid w:val="00D01429"/>
    <w:rsid w:val="00D0534E"/>
    <w:rsid w:val="00D17BAE"/>
    <w:rsid w:val="00D2333F"/>
    <w:rsid w:val="00D23E2D"/>
    <w:rsid w:val="00D2576C"/>
    <w:rsid w:val="00D46B09"/>
    <w:rsid w:val="00D51B4D"/>
    <w:rsid w:val="00D55147"/>
    <w:rsid w:val="00D56085"/>
    <w:rsid w:val="00D707B4"/>
    <w:rsid w:val="00D714F7"/>
    <w:rsid w:val="00D73AC3"/>
    <w:rsid w:val="00D73C3A"/>
    <w:rsid w:val="00D827E2"/>
    <w:rsid w:val="00D876A9"/>
    <w:rsid w:val="00DA2B3C"/>
    <w:rsid w:val="00DB1E28"/>
    <w:rsid w:val="00DB385A"/>
    <w:rsid w:val="00DC2179"/>
    <w:rsid w:val="00DC3DB8"/>
    <w:rsid w:val="00DC43C5"/>
    <w:rsid w:val="00DC6CAA"/>
    <w:rsid w:val="00DC7807"/>
    <w:rsid w:val="00DD22A1"/>
    <w:rsid w:val="00DE0889"/>
    <w:rsid w:val="00DE6769"/>
    <w:rsid w:val="00DF609C"/>
    <w:rsid w:val="00E17921"/>
    <w:rsid w:val="00E20531"/>
    <w:rsid w:val="00E23F17"/>
    <w:rsid w:val="00E25F54"/>
    <w:rsid w:val="00E4107F"/>
    <w:rsid w:val="00E44720"/>
    <w:rsid w:val="00E51CFC"/>
    <w:rsid w:val="00E57348"/>
    <w:rsid w:val="00E70839"/>
    <w:rsid w:val="00E75E62"/>
    <w:rsid w:val="00EA364B"/>
    <w:rsid w:val="00EB01C9"/>
    <w:rsid w:val="00EB608E"/>
    <w:rsid w:val="00EB6C7F"/>
    <w:rsid w:val="00EC1A07"/>
    <w:rsid w:val="00ED027B"/>
    <w:rsid w:val="00ED1315"/>
    <w:rsid w:val="00ED73BE"/>
    <w:rsid w:val="00ED76F1"/>
    <w:rsid w:val="00EE229A"/>
    <w:rsid w:val="00EE6CFE"/>
    <w:rsid w:val="00EF2887"/>
    <w:rsid w:val="00EF55F3"/>
    <w:rsid w:val="00F040F6"/>
    <w:rsid w:val="00F1613F"/>
    <w:rsid w:val="00F1748C"/>
    <w:rsid w:val="00F60495"/>
    <w:rsid w:val="00F63096"/>
    <w:rsid w:val="00F83984"/>
    <w:rsid w:val="00F904E3"/>
    <w:rsid w:val="00F96514"/>
    <w:rsid w:val="00FA3658"/>
    <w:rsid w:val="00FA456F"/>
    <w:rsid w:val="00FA65C0"/>
    <w:rsid w:val="00FB6714"/>
    <w:rsid w:val="00FC19C3"/>
    <w:rsid w:val="00FC37FF"/>
    <w:rsid w:val="00FE0A85"/>
    <w:rsid w:val="00FF237B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F5"/>
    <w:pPr>
      <w:spacing w:line="360" w:lineRule="auto"/>
      <w:jc w:val="both"/>
    </w:pPr>
    <w:rPr>
      <w:rFonts w:ascii="Verdana" w:hAnsi="Verdana" w:cs="Tahoma"/>
      <w:szCs w:val="24"/>
    </w:rPr>
  </w:style>
  <w:style w:type="paragraph" w:styleId="Ttulo1">
    <w:name w:val="heading 1"/>
    <w:basedOn w:val="Normal"/>
    <w:next w:val="Normal"/>
    <w:qFormat/>
    <w:rsid w:val="005D4A17"/>
    <w:pPr>
      <w:keepNext/>
      <w:ind w:left="360"/>
      <w:outlineLvl w:val="0"/>
    </w:pPr>
    <w:rPr>
      <w:rFonts w:ascii="Times New Roman" w:hAnsi="Times New Roman" w:cs="Times New Roman"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55807"/>
  </w:style>
  <w:style w:type="paragraph" w:styleId="Ttulo">
    <w:name w:val="Title"/>
    <w:basedOn w:val="Normal"/>
    <w:link w:val="TtuloCar"/>
    <w:qFormat/>
    <w:rsid w:val="00555807"/>
    <w:pPr>
      <w:jc w:val="center"/>
    </w:pPr>
    <w:rPr>
      <w:b/>
      <w:bCs/>
      <w:u w:val="single"/>
    </w:rPr>
  </w:style>
  <w:style w:type="paragraph" w:styleId="Encabezado">
    <w:name w:val="header"/>
    <w:basedOn w:val="Normal"/>
    <w:link w:val="EncabezadoCar"/>
    <w:uiPriority w:val="99"/>
    <w:rsid w:val="005558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580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555807"/>
    <w:rPr>
      <w:rFonts w:ascii="Arial" w:hAnsi="Arial" w:cs="Arial"/>
    </w:rPr>
  </w:style>
  <w:style w:type="paragraph" w:styleId="Sangradetextonormal">
    <w:name w:val="Body Text Indent"/>
    <w:basedOn w:val="Normal"/>
    <w:rsid w:val="00555807"/>
    <w:pPr>
      <w:ind w:left="720" w:hanging="12"/>
    </w:pPr>
    <w:rPr>
      <w:b/>
    </w:rPr>
  </w:style>
  <w:style w:type="character" w:customStyle="1" w:styleId="TtuloCar">
    <w:name w:val="Título Car"/>
    <w:link w:val="Ttulo"/>
    <w:rsid w:val="003B0D17"/>
    <w:rPr>
      <w:rFonts w:ascii="Tahoma" w:hAnsi="Tahoma" w:cs="Tahoma"/>
      <w:b/>
      <w:bCs/>
      <w:sz w:val="24"/>
      <w:szCs w:val="24"/>
      <w:u w:val="single"/>
    </w:rPr>
  </w:style>
  <w:style w:type="character" w:styleId="Hipervnculo">
    <w:name w:val="Hyperlink"/>
    <w:unhideWhenUsed/>
    <w:rsid w:val="001C19C1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1C19C1"/>
    <w:rPr>
      <w:rFonts w:ascii="Tahoma" w:hAnsi="Tahoma" w:cs="Tahoma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52C45"/>
    <w:pPr>
      <w:ind w:left="708"/>
    </w:pPr>
  </w:style>
  <w:style w:type="character" w:customStyle="1" w:styleId="PiedepginaCar">
    <w:name w:val="Pie de página Car"/>
    <w:link w:val="Piedepgina"/>
    <w:uiPriority w:val="99"/>
    <w:rsid w:val="003F2F84"/>
    <w:rPr>
      <w:rFonts w:ascii="Tahoma" w:hAnsi="Tahoma" w:cs="Tahoma"/>
      <w:sz w:val="24"/>
      <w:szCs w:val="24"/>
    </w:rPr>
  </w:style>
  <w:style w:type="paragraph" w:styleId="Textodeglobo">
    <w:name w:val="Balloon Text"/>
    <w:basedOn w:val="Normal"/>
    <w:link w:val="TextodegloboCar"/>
    <w:rsid w:val="005015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5B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2665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65C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65CA"/>
    <w:rPr>
      <w:rFonts w:ascii="Verdana" w:hAnsi="Verdana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65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665CA"/>
    <w:rPr>
      <w:rFonts w:ascii="Verdana" w:hAnsi="Verdana" w:cs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F5"/>
    <w:pPr>
      <w:spacing w:line="360" w:lineRule="auto"/>
      <w:jc w:val="both"/>
    </w:pPr>
    <w:rPr>
      <w:rFonts w:ascii="Verdana" w:hAnsi="Verdana" w:cs="Tahoma"/>
      <w:szCs w:val="24"/>
    </w:rPr>
  </w:style>
  <w:style w:type="paragraph" w:styleId="Ttulo1">
    <w:name w:val="heading 1"/>
    <w:basedOn w:val="Normal"/>
    <w:next w:val="Normal"/>
    <w:qFormat/>
    <w:rsid w:val="005D4A17"/>
    <w:pPr>
      <w:keepNext/>
      <w:ind w:left="360"/>
      <w:outlineLvl w:val="0"/>
    </w:pPr>
    <w:rPr>
      <w:rFonts w:ascii="Times New Roman" w:hAnsi="Times New Roman" w:cs="Times New Roman"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55807"/>
  </w:style>
  <w:style w:type="paragraph" w:styleId="Ttulo">
    <w:name w:val="Title"/>
    <w:basedOn w:val="Normal"/>
    <w:link w:val="TtuloCar"/>
    <w:qFormat/>
    <w:rsid w:val="00555807"/>
    <w:pPr>
      <w:jc w:val="center"/>
    </w:pPr>
    <w:rPr>
      <w:b/>
      <w:bCs/>
      <w:u w:val="single"/>
    </w:rPr>
  </w:style>
  <w:style w:type="paragraph" w:styleId="Encabezado">
    <w:name w:val="header"/>
    <w:basedOn w:val="Normal"/>
    <w:link w:val="EncabezadoCar"/>
    <w:uiPriority w:val="99"/>
    <w:rsid w:val="005558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580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555807"/>
    <w:rPr>
      <w:rFonts w:ascii="Arial" w:hAnsi="Arial" w:cs="Arial"/>
    </w:rPr>
  </w:style>
  <w:style w:type="paragraph" w:styleId="Sangradetextonormal">
    <w:name w:val="Body Text Indent"/>
    <w:basedOn w:val="Normal"/>
    <w:rsid w:val="00555807"/>
    <w:pPr>
      <w:ind w:left="720" w:hanging="12"/>
    </w:pPr>
    <w:rPr>
      <w:b/>
    </w:rPr>
  </w:style>
  <w:style w:type="character" w:customStyle="1" w:styleId="TtuloCar">
    <w:name w:val="Título Car"/>
    <w:link w:val="Ttulo"/>
    <w:rsid w:val="003B0D17"/>
    <w:rPr>
      <w:rFonts w:ascii="Tahoma" w:hAnsi="Tahoma" w:cs="Tahoma"/>
      <w:b/>
      <w:bCs/>
      <w:sz w:val="24"/>
      <w:szCs w:val="24"/>
      <w:u w:val="single"/>
    </w:rPr>
  </w:style>
  <w:style w:type="character" w:styleId="Hipervnculo">
    <w:name w:val="Hyperlink"/>
    <w:unhideWhenUsed/>
    <w:rsid w:val="001C19C1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1C19C1"/>
    <w:rPr>
      <w:rFonts w:ascii="Tahoma" w:hAnsi="Tahoma" w:cs="Tahoma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52C45"/>
    <w:pPr>
      <w:ind w:left="708"/>
    </w:pPr>
  </w:style>
  <w:style w:type="character" w:customStyle="1" w:styleId="PiedepginaCar">
    <w:name w:val="Pie de página Car"/>
    <w:link w:val="Piedepgina"/>
    <w:uiPriority w:val="99"/>
    <w:rsid w:val="003F2F84"/>
    <w:rPr>
      <w:rFonts w:ascii="Tahoma" w:hAnsi="Tahoma" w:cs="Tahoma"/>
      <w:sz w:val="24"/>
      <w:szCs w:val="24"/>
    </w:rPr>
  </w:style>
  <w:style w:type="paragraph" w:styleId="Textodeglobo">
    <w:name w:val="Balloon Text"/>
    <w:basedOn w:val="Normal"/>
    <w:link w:val="TextodegloboCar"/>
    <w:rsid w:val="005015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5B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2665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65C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65CA"/>
    <w:rPr>
      <w:rFonts w:ascii="Verdana" w:hAnsi="Verdana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65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665CA"/>
    <w:rPr>
      <w:rFonts w:ascii="Verdana" w:hAnsi="Verdan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menen@sedigas.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ferrer@sedigas.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B9A1-67DE-4FE6-B599-EBDB6A2C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C6C37D6C</Template>
  <TotalTime>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Primeras Estimaciones de 2004</vt:lpstr>
    </vt:vector>
  </TitlesOfParts>
  <Company>.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Primeras Estimaciones de 2004</dc:title>
  <dc:creator>Carme Ferrer Badia</dc:creator>
  <cp:lastModifiedBy>Eulogio Yanguas</cp:lastModifiedBy>
  <cp:revision>2</cp:revision>
  <cp:lastPrinted>2014-04-25T12:17:00Z</cp:lastPrinted>
  <dcterms:created xsi:type="dcterms:W3CDTF">2014-04-30T07:09:00Z</dcterms:created>
  <dcterms:modified xsi:type="dcterms:W3CDTF">2014-04-30T07:09:00Z</dcterms:modified>
</cp:coreProperties>
</file>